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Båtselkojan-Lidvista i Arvidsjaurs kommun</w:t>
      </w:r>
    </w:p>
    <w:p>
      <w:r>
        <w:t>Detta dokument behandlar höga naturvärden i avverkningsanmälan Båtselkojan-Lidvista i Arvidsjaurs kommun. Denna avverkningsanmälan inkom 2023-07-27 och omfattar 142,8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5 naturvårdsarter hittats: knärot (VU, §8), reliktbock (NT), rosenticka (NT), tretåig hackspett (NT, §4) och revlummer (§9). Av dessa är 4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020525"/>
            <wp:docPr id="1" name="Picture 1"/>
            <wp:cNvGraphicFramePr>
              <a:graphicFrameLocks noChangeAspect="1"/>
            </wp:cNvGraphicFramePr>
            <a:graphic>
              <a:graphicData uri="http://schemas.openxmlformats.org/drawingml/2006/picture">
                <pic:pic>
                  <pic:nvPicPr>
                    <pic:cNvPr id="0" name="Båtselkojan-Lidvista karta.png"/>
                    <pic:cNvPicPr/>
                  </pic:nvPicPr>
                  <pic:blipFill>
                    <a:blip r:embed="rId16"/>
                    <a:stretch>
                      <a:fillRect/>
                    </a:stretch>
                  </pic:blipFill>
                  <pic:spPr>
                    <a:xfrm>
                      <a:off x="0" y="0"/>
                      <a:ext cx="5486400" cy="102052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7319592, E 718127 i SWEREF 99 TM.</w:t>
      </w:r>
    </w:p>
    <w:p>
      <w:pPr>
        <w:pStyle w:val="Heading1"/>
      </w:pPr>
      <w:r>
        <w:t>Fridlysta arter</w:t>
      </w:r>
    </w:p>
    <w:p>
      <w:r>
        <w:t>Följande fridlysta arter har sina livsmiljöer och växtplatser i den avverkningsanmälda skogen: knärot (VU, §8), tretåig hackspett (NT, §4)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Knärot (VU, §8)</w:t>
      </w:r>
      <w:r>
        <w:t xml:space="preserve"> är rödlistad som sårbar (VU). För att knärot inte ska ta skada av skogsbruksåtgärder i intilliggande skog krävs buffertzoner på minst 50 meter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2023).</w:t>
      </w:r>
    </w:p>
    <w:p>
      <w:r>
        <w:t>I det avverkningsanmälda området finns 2 fyndplatser för knärot registrerade på Artportalen. Figur 2 visar gränserna för buffertzoner på 50 m, som behöver lämnas kring fyndplatserna för att knärotslokalerna inte ska försvinna vid en avverkning. Av det avverkningsanmälda området överlappar 1.50 ha med buffertzonerna och får av detta skäl inte avverkas.</w:t>
      </w:r>
    </w:p>
    <w:p>
      <w:pPr>
        <w:pStyle w:val="Caption"/>
      </w:pPr>
      <w:r>
        <w:drawing>
          <wp:inline xmlns:a="http://schemas.openxmlformats.org/drawingml/2006/main" xmlns:pic="http://schemas.openxmlformats.org/drawingml/2006/picture">
            <wp:extent cx="5486400" cy="1147596"/>
            <wp:docPr id="2" name="Picture 2"/>
            <wp:cNvGraphicFramePr>
              <a:graphicFrameLocks noChangeAspect="1"/>
            </wp:cNvGraphicFramePr>
            <a:graphic>
              <a:graphicData uri="http://schemas.openxmlformats.org/drawingml/2006/picture">
                <pic:pic>
                  <pic:nvPicPr>
                    <pic:cNvPr id="0" name="Båtselkojan-Lidvista karta knärot.png"/>
                    <pic:cNvPicPr/>
                  </pic:nvPicPr>
                  <pic:blipFill>
                    <a:blip r:embed="rId17"/>
                    <a:stretch>
                      <a:fillRect/>
                    </a:stretch>
                  </pic:blipFill>
                  <pic:spPr>
                    <a:xfrm>
                      <a:off x="0" y="0"/>
                      <a:ext cx="5486400" cy="1147596"/>
                    </a:xfrm>
                    <a:prstGeom prst="rect"/>
                  </pic:spPr>
                </pic:pic>
              </a:graphicData>
            </a:graphic>
          </wp:inline>
        </w:drawing>
      </w:r>
    </w:p>
    <w:p>
      <w:pPr>
        <w:pStyle w:val="Caption"/>
      </w:pPr>
      <w:r>
        <w:t>Figur 2. Fyndplatser och buffertzoner för knärot i det avverkningsanmälda området. Endast fyndplaster vars buffertzoner överlappar med det avverkningsanmälda området har tagits med i visualiseringen. Kartans mittpunktskoordinat är N 7319592, E 718127 i SWEREF 99 TM.</w:t>
      </w:r>
    </w:p>
    <w:p>
      <w:pPr>
        <w:pStyle w:val="Caption"/>
      </w:pP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(Skogsstyrelsen, 2016).</w:t>
      </w:r>
    </w:p>
    <w:p>
      <w:r>
        <w:t>I BILAGA 1 finns mer detaljerad information om ekologi samt krav på livsmiljö hos fridlysta arter.</w:t>
      </w:r>
    </w:p>
    <w:p>
      <w:r>
        <w:br w:type="page"/>
      </w:r>
    </w:p>
    <w:p>
      <w:pPr>
        <w:pStyle w:val="Title"/>
      </w:pPr>
      <w:r>
        <w:t>BILAGA 1 - Fridlysta arter</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iförhållande till sin generationstid än vad som tidigare varit känt (data från Riksskogstaxeringen) höjdes den till hotkategori sårbar (VU) i rödlistan 2020 (Artdatabanken, 2021).</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 – 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 xml:space="preserve">Ecological Applications, 22, 2049-2064 </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2021. </w:t>
      </w:r>
      <w:r>
        <w:rPr>
          <w:i/>
        </w:rPr>
        <w:t xml:space="preserve">Artfaktablad. Naturvård – artfakta. </w:t>
      </w:r>
      <w:r>
        <w:t xml:space="preserve">SLU Artdatabanken, Uppsala </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2024-07-24</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